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ECA" w:rsidRPr="00393ECA" w:rsidRDefault="001445A8" w:rsidP="0035003D">
      <w:pPr>
        <w:widowControl w:val="0"/>
        <w:autoSpaceDE w:val="0"/>
        <w:autoSpaceDN w:val="0"/>
        <w:adjustRightInd w:val="0"/>
        <w:ind w:left="6379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                                                                            </w:t>
      </w:r>
      <w:r w:rsidR="003C1DC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                                    </w:t>
      </w:r>
      <w:r w:rsidR="00393ECA" w:rsidRPr="00393ECA">
        <w:rPr>
          <w:rFonts w:ascii="Times New Roman" w:hAnsi="Times New Roman"/>
          <w:sz w:val="28"/>
          <w:szCs w:val="28"/>
        </w:rPr>
        <w:t>УТВЕРЖДЕН</w:t>
      </w:r>
    </w:p>
    <w:p w:rsidR="00393ECA" w:rsidRPr="00393ECA" w:rsidRDefault="00393ECA" w:rsidP="0035003D">
      <w:pPr>
        <w:widowControl w:val="0"/>
        <w:autoSpaceDE w:val="0"/>
        <w:autoSpaceDN w:val="0"/>
        <w:adjustRightInd w:val="0"/>
        <w:ind w:left="6379"/>
        <w:contextualSpacing/>
        <w:outlineLvl w:val="1"/>
        <w:rPr>
          <w:rFonts w:ascii="Times New Roman" w:hAnsi="Times New Roman"/>
          <w:sz w:val="28"/>
          <w:szCs w:val="28"/>
        </w:rPr>
      </w:pPr>
      <w:r w:rsidRPr="00393ECA">
        <w:rPr>
          <w:rFonts w:ascii="Times New Roman" w:hAnsi="Times New Roman"/>
          <w:sz w:val="28"/>
          <w:szCs w:val="28"/>
        </w:rPr>
        <w:t>постановлением</w:t>
      </w:r>
    </w:p>
    <w:p w:rsidR="00393ECA" w:rsidRPr="00393ECA" w:rsidRDefault="00393ECA" w:rsidP="0035003D">
      <w:pPr>
        <w:widowControl w:val="0"/>
        <w:autoSpaceDE w:val="0"/>
        <w:autoSpaceDN w:val="0"/>
        <w:adjustRightInd w:val="0"/>
        <w:ind w:left="6379"/>
        <w:contextualSpacing/>
        <w:outlineLvl w:val="1"/>
        <w:rPr>
          <w:rFonts w:ascii="Times New Roman" w:hAnsi="Times New Roman"/>
          <w:sz w:val="28"/>
          <w:szCs w:val="28"/>
        </w:rPr>
      </w:pPr>
      <w:r w:rsidRPr="00393ECA">
        <w:rPr>
          <w:rFonts w:ascii="Times New Roman" w:hAnsi="Times New Roman"/>
          <w:sz w:val="28"/>
          <w:szCs w:val="28"/>
        </w:rPr>
        <w:t xml:space="preserve">Правительства </w:t>
      </w:r>
    </w:p>
    <w:p w:rsidR="00393ECA" w:rsidRPr="00393ECA" w:rsidRDefault="00393ECA" w:rsidP="0035003D">
      <w:pPr>
        <w:widowControl w:val="0"/>
        <w:autoSpaceDE w:val="0"/>
        <w:autoSpaceDN w:val="0"/>
        <w:adjustRightInd w:val="0"/>
        <w:ind w:left="6379"/>
        <w:contextualSpacing/>
        <w:outlineLvl w:val="1"/>
        <w:rPr>
          <w:rFonts w:ascii="Times New Roman" w:hAnsi="Times New Roman"/>
          <w:sz w:val="28"/>
          <w:szCs w:val="28"/>
        </w:rPr>
      </w:pPr>
      <w:r w:rsidRPr="00393ECA">
        <w:rPr>
          <w:rFonts w:ascii="Times New Roman" w:hAnsi="Times New Roman"/>
          <w:sz w:val="28"/>
          <w:szCs w:val="28"/>
        </w:rPr>
        <w:t>Ярославской области</w:t>
      </w:r>
    </w:p>
    <w:p w:rsidR="00393ECA" w:rsidRPr="00393ECA" w:rsidRDefault="00393ECA" w:rsidP="0035003D">
      <w:pPr>
        <w:widowControl w:val="0"/>
        <w:autoSpaceDE w:val="0"/>
        <w:autoSpaceDN w:val="0"/>
        <w:adjustRightInd w:val="0"/>
        <w:ind w:left="6379"/>
        <w:contextualSpacing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27.03.2024 № 39</w:t>
      </w:r>
      <w:r w:rsidRPr="00164F96">
        <w:rPr>
          <w:rFonts w:ascii="Times New Roman" w:hAnsi="Times New Roman"/>
          <w:sz w:val="28"/>
          <w:szCs w:val="28"/>
        </w:rPr>
        <w:t>0</w:t>
      </w:r>
      <w:r w:rsidRPr="00393ECA">
        <w:rPr>
          <w:rFonts w:ascii="Times New Roman" w:hAnsi="Times New Roman"/>
          <w:sz w:val="28"/>
          <w:szCs w:val="28"/>
        </w:rPr>
        <w:t>-п</w:t>
      </w:r>
    </w:p>
    <w:p w:rsidR="00480D71" w:rsidRPr="003C1DCB" w:rsidRDefault="00480D71" w:rsidP="00480D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04A3A" w:rsidRPr="003C1DCB" w:rsidRDefault="00A04A3A" w:rsidP="00480D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64F96" w:rsidRPr="00164F96" w:rsidRDefault="00164F96" w:rsidP="00587B9A">
      <w:pPr>
        <w:spacing w:after="0" w:line="312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bookmarkStart w:id="0" w:name="Par3"/>
      <w:bookmarkEnd w:id="0"/>
      <w:r w:rsidRPr="00164F96">
        <w:rPr>
          <w:rFonts w:ascii="Times New Roman" w:eastAsia="Times New Roman" w:hAnsi="Times New Roman"/>
          <w:b/>
          <w:bCs/>
          <w:caps/>
          <w:sz w:val="28"/>
          <w:szCs w:val="28"/>
        </w:rPr>
        <w:t>ПОРЯДОК</w:t>
      </w:r>
    </w:p>
    <w:p w:rsidR="00164F96" w:rsidRPr="00164F96" w:rsidRDefault="00164F96" w:rsidP="00587B9A">
      <w:pPr>
        <w:spacing w:after="0" w:line="312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164F96">
        <w:rPr>
          <w:rFonts w:ascii="Times New Roman" w:eastAsia="Times New Roman" w:hAnsi="Times New Roman"/>
          <w:b/>
          <w:bCs/>
          <w:caps/>
          <w:sz w:val="28"/>
          <w:szCs w:val="28"/>
        </w:rPr>
        <w:t>предоставления и распределения субсидии на создание</w:t>
      </w:r>
      <w:r w:rsidR="00587B9A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 </w:t>
      </w:r>
      <w:r w:rsidRPr="00164F96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некапитальных объектов </w:t>
      </w:r>
      <w:r w:rsidR="00B14497">
        <w:rPr>
          <w:rFonts w:ascii="Times New Roman" w:eastAsia="Times New Roman" w:hAnsi="Times New Roman"/>
          <w:b/>
          <w:bCs/>
          <w:caps/>
          <w:sz w:val="28"/>
          <w:szCs w:val="28"/>
        </w:rPr>
        <w:t>(</w:t>
      </w:r>
      <w:r w:rsidRPr="00164F96">
        <w:rPr>
          <w:rFonts w:ascii="Times New Roman" w:eastAsia="Times New Roman" w:hAnsi="Times New Roman"/>
          <w:b/>
          <w:bCs/>
          <w:caps/>
          <w:sz w:val="28"/>
          <w:szCs w:val="28"/>
        </w:rPr>
        <w:t>быстровозводимых конструкций) отдыха</w:t>
      </w:r>
    </w:p>
    <w:p w:rsidR="00164F96" w:rsidRPr="00164F96" w:rsidRDefault="00164F96" w:rsidP="00587B9A">
      <w:pPr>
        <w:spacing w:after="0" w:line="312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164F96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детей и их оздоровления, а также капитальный ремонт </w:t>
      </w:r>
      <w:proofErr w:type="gramStart"/>
      <w:r w:rsidRPr="00164F96">
        <w:rPr>
          <w:rFonts w:ascii="Times New Roman" w:eastAsia="Times New Roman" w:hAnsi="Times New Roman"/>
          <w:b/>
          <w:bCs/>
          <w:caps/>
          <w:sz w:val="28"/>
          <w:szCs w:val="28"/>
        </w:rPr>
        <w:t>объектов</w:t>
      </w:r>
      <w:r w:rsidR="00145C3F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  </w:t>
      </w:r>
      <w:r w:rsidRPr="00164F96">
        <w:rPr>
          <w:rFonts w:ascii="Times New Roman" w:eastAsia="Times New Roman" w:hAnsi="Times New Roman"/>
          <w:b/>
          <w:bCs/>
          <w:caps/>
          <w:sz w:val="28"/>
          <w:szCs w:val="28"/>
        </w:rPr>
        <w:t>инфраструктуры</w:t>
      </w:r>
      <w:proofErr w:type="gramEnd"/>
      <w:r w:rsidRPr="00164F96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 организаций отдыха детей и их оздоровления</w:t>
      </w:r>
    </w:p>
    <w:p w:rsidR="00164F96" w:rsidRPr="00164F96" w:rsidRDefault="00164F96" w:rsidP="00587B9A">
      <w:pPr>
        <w:spacing w:after="0" w:line="288" w:lineRule="atLeast"/>
        <w:jc w:val="center"/>
        <w:rPr>
          <w:rFonts w:ascii="Times New Roman" w:eastAsia="Times New Roman" w:hAnsi="Times New Roman"/>
          <w:caps/>
          <w:sz w:val="28"/>
          <w:szCs w:val="28"/>
        </w:rPr>
      </w:pP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164F96">
      <w:pPr>
        <w:spacing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1. Порядок предоставления и распределения субсидии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(далее - Порядок) разработан в соответствии с Правилами предоставления и распределения субсидий из федерального бюджета бюджетам субъектов Российской Федерации и бюджету г. Байконура в целях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оздоровления, приведенными в приложении N 35 государственной программе Российской Федерации "Развитие образования", утвержденной постановлением Правительства Российской Федерации от 26 декабря 2017 г. N 1642 "Об утверждении государственной программы Российской Федерации "Развитие образования" и определяет механизм и условия предоставления из областного бюджета и распределения муниципальным образованиям Ярославской области (далее - муниципальные образования области) субсидии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(далее - субсидия) в рамках задачи "Создание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оздоровления" </w:t>
      </w:r>
      <w:r w:rsidRPr="00164F96">
        <w:rPr>
          <w:rFonts w:ascii="Times New Roman" w:eastAsia="Times New Roman" w:hAnsi="Times New Roman"/>
          <w:sz w:val="28"/>
          <w:szCs w:val="28"/>
        </w:rPr>
        <w:lastRenderedPageBreak/>
        <w:t xml:space="preserve">регионального проекта "Создание условий для отдыха и оздоровления детей на территории Ярославской области" на 2024 - 2026 годы государственной программы Ярославской области "Социальная поддержка населения Ярославской области" на 2024 - 2030 годы (далее - задача), порядок расходования субсидии.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2. Субсидия предоставляется в целях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расходных обязательств муниципальных образований области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оздоровления, находящихся в муниципальной собственности.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3. Критериями отбора муниципальных образований области являются: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- наличие в собственности муниципального образования области загородных организаций отдыха детей и их оздоровления, учредителями которых являются муниципальные образования области, имеющих потребность в создании некапитальных объектов (быстровозводимых конструкций) отдыха детей и их оздоровления, а также капитальном ремонте объектов инфраструктуры организаций отдыха детей и их оздоровления;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- прохождение отбора загородными организациями отдыха детей и их оздоровления, учредителями которых являются муниципальные образования области, в составе заявки Ярославской области в Министерстве просвещения Российской Федерации на предоставление субсидий бюджетам субъектов Российской Федерации и бюджету города Байконура в целях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расходных обязательств,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оздоровления, на соответствующий год.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4. Условия предоставления и расходования субсидии: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4.1. Наличие муниципальных программ, на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мероприятий которых предоставляются субсидии.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4.2. Наличие в местных бюджетах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мероприятий муниципальных программ в соответствии с направлениями расходов задачи.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4.3. Наличие подписанного с муниципальным образованием области соглашения о предоставлении субсидии из областного бюджета в соответствии с пунктом 10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N 999 </w:t>
      </w:r>
      <w:r w:rsidRPr="00164F96">
        <w:rPr>
          <w:rFonts w:ascii="Times New Roman" w:eastAsia="Times New Roman" w:hAnsi="Times New Roman"/>
          <w:sz w:val="28"/>
          <w:szCs w:val="28"/>
        </w:rPr>
        <w:lastRenderedPageBreak/>
        <w:t xml:space="preserve">"О формировании, предоставлении и распределении субсидий из федерального бюджета бюджетам субъектов Российской Федерации" (далее - соглашение).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Соглашение формируется с использованием государственной интегрированной информационной системы управления общественными финансами "Электронный бюджет".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4.4. Соблюдение целевых направлений расходования субсидии.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4.5. Соблюдение уровня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из местного бюджета.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4.6. Выполнение требований к срокам, порядку и формам представления отчетности об использовании субсидии.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4.7.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субсидии, по соблюдению уровня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расходных обязательств из местного бюджета.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5. Размер субсидии, предоставляемой бюджету муниципального образования области за счет средств областного бюджета (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S</w:t>
      </w:r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i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), рассчитывается по формуле: </w:t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164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S</w:t>
      </w:r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i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=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R</w:t>
      </w:r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i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x k, </w:t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164F96">
      <w:pPr>
        <w:spacing w:after="0" w:line="288" w:lineRule="atLeas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где: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R</w:t>
      </w:r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i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- объем средств, необходимых для проведения в текущем году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оздоровления, находящихся в муниципальной собственности, указанных в пункте 2 Порядка;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k - уровень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расходного обязательства за счет средств областного бюджета, который устанавливается в соответствии с постановлением Правительства Ярославской области о предельном уровне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объема расходного обязательства муниципального образования из областного бюджета на очередной финансовый год и на плановый период.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Муниципальным образованием области субсидия распределяется между загородными организациями отдыха детей и их оздоровления, находящимися в муниципальной собственности, в зависимости от их потребности в создании некапитальных объектов (быстровозводимых конструкций) отдыха детей и их оздоровления, а также капитальном ремонте объектов инфраструктуры организаций отдыха детей и их оздоровления.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6. Для заключения соглашения муниципальное образование области должно представить следующие документы: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lastRenderedPageBreak/>
        <w:t xml:space="preserve">- копия утвержденной муниципальной программы, на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мероприятий которой предоставляется субсидия;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7.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8. Процедура предоставления субсидии: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8.1. Уполномоченные органы по организации и обеспечению отдыха и оздоровления детей муниципальных образований области (далее - уполномоченные органы) представляют в управление по социальной и демографической политике Правительства Ярославской области (далее - управление) заявки на предоставление субсидии по форме согласно </w:t>
      </w:r>
      <w:proofErr w:type="gramStart"/>
      <w:r w:rsidRPr="00164F96">
        <w:rPr>
          <w:rFonts w:ascii="Times New Roman" w:eastAsia="Times New Roman" w:hAnsi="Times New Roman"/>
          <w:sz w:val="28"/>
          <w:szCs w:val="28"/>
        </w:rPr>
        <w:t>приложению</w:t>
      </w:r>
      <w:proofErr w:type="gramEnd"/>
      <w:r w:rsidRPr="00164F96">
        <w:rPr>
          <w:rFonts w:ascii="Times New Roman" w:eastAsia="Times New Roman" w:hAnsi="Times New Roman"/>
          <w:sz w:val="28"/>
          <w:szCs w:val="28"/>
        </w:rPr>
        <w:t xml:space="preserve"> к Порядку на соответствующий финансовый год (в том числе по месяцам и кварталам) не позднее чем за 10 рабочих дней до начала соответствующего финансового года.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8.2. Управление представляет в финансовое управление Правительства Ярославской области для включения в кассовый план исполнения областного бюджета на соответствующий финансовый год (в том числе по месяцам и кварталам) не позднее чем за 4 рабочих дня до начала соответствующего финансового года заявку на предоставление муниципальным образованиям области субсидии в пределах объемов, предусмотренных законом Ярославской области об областном бюджете на соответствующий финансовый год.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8.3. Перечисление субсидии муниципальным образованиям области -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Перечисление субсидии местным бюджетам осуществляется в пределах утвержденного кассового плана областного бюджета.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8.4. Уполномоченные органы размещают в государственной интегрированной информационной системе управления общественными финансами "Электронный бюджет" отчеты о расходах, в целях </w:t>
      </w: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64F96">
        <w:rPr>
          <w:rFonts w:ascii="Times New Roman" w:eastAsia="Times New Roman" w:hAnsi="Times New Roman"/>
          <w:sz w:val="28"/>
          <w:szCs w:val="28"/>
        </w:rPr>
        <w:t xml:space="preserve"> которых предоставляется субсидия, по форме, установленной соглашением, ежеквартально до 10-го числа месяца, следующего за отчетным периодом.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8.5. Уполномоченные органы размещают в государственной интегрированной информационной системе управления общественными финансами "Электронный бюджет" отчеты о достижении значений результатов использования субсидии по </w:t>
      </w:r>
      <w:r w:rsidRPr="00164F96">
        <w:rPr>
          <w:rFonts w:ascii="Times New Roman" w:eastAsia="Times New Roman" w:hAnsi="Times New Roman"/>
          <w:sz w:val="28"/>
          <w:szCs w:val="28"/>
        </w:rPr>
        <w:lastRenderedPageBreak/>
        <w:t xml:space="preserve">форме, установленной соглашением, не позднее 10 рабочих дней месяца года, следующего за отчетным годом.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8.6. Управление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9. Заявки, отчеты и информация, заверенные подписями руководителя уполномоченного органа и руководителя финансового органа муниципального образования области, представляются в управление в электронном виде и на бумажном носителе.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10. Контроль за целевым использованием субсидии осуществляется путем анализа отчетов, представленных в соответствии с подпунктом 8.4 пункта 8 Порядка, без представления первичных учетных документов.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11. Эффективность и результативность использования субсидии оцениваются ответственным исполнителем регионального проекта "Создание условий для отдыха и оздоровления детей на территории Ярославской области" на 2024 - 2026 годы государственной программы Ярославской области "Социальная поддержка населения Ярославской области" на 2024 - 2030 годы на основании отчетов, указанных в подпункте 8.5 пункта 8 Порядка, представленных органами местного самоуправления муниципальных образований области по итогам текущего финансового года.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Показателями результата использования субсидии являются: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- количество созданных некапитальных строений для организаций отдыха детей и их оздоровления, предназначенных для проживания детей;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- количество объектов, в которых в полном объеме выполнены мероприятия по капитальному ремонту.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Плановое значение показателя результата использования субсидии предусмотрено соглашением.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Результативность использования субсидии (R') рассчитывается по формуле: </w:t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164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noProof/>
          <w:position w:val="-28"/>
        </w:rPr>
        <w:drawing>
          <wp:inline distT="0" distB="0" distL="0" distR="0" wp14:anchorId="163E29E8" wp14:editId="69DA5F01">
            <wp:extent cx="1405255" cy="51625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164F96">
      <w:pPr>
        <w:spacing w:after="0" w:line="288" w:lineRule="atLeas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где: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x</w:t>
      </w:r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i</w:t>
      </w:r>
      <w:proofErr w:type="spellEnd"/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 xml:space="preserve"> тек.</w:t>
      </w:r>
      <w:r w:rsidRPr="00164F96">
        <w:rPr>
          <w:rFonts w:ascii="Times New Roman" w:eastAsia="Times New Roman" w:hAnsi="Times New Roman"/>
          <w:sz w:val="28"/>
          <w:szCs w:val="28"/>
        </w:rPr>
        <w:t xml:space="preserve"> - текущее значение целевого показателя результата;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x</w:t>
      </w:r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i</w:t>
      </w:r>
      <w:proofErr w:type="spellEnd"/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 xml:space="preserve"> план.</w:t>
      </w:r>
      <w:r w:rsidRPr="00164F96">
        <w:rPr>
          <w:rFonts w:ascii="Times New Roman" w:eastAsia="Times New Roman" w:hAnsi="Times New Roman"/>
          <w:sz w:val="28"/>
          <w:szCs w:val="28"/>
        </w:rPr>
        <w:t xml:space="preserve"> - плановое значение целевого показателя результата.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При значении R' </w:t>
      </w:r>
      <w:proofErr w:type="gramStart"/>
      <w:r w:rsidRPr="00164F96">
        <w:rPr>
          <w:rFonts w:ascii="Times New Roman" w:eastAsia="Times New Roman" w:hAnsi="Times New Roman"/>
          <w:sz w:val="28"/>
          <w:szCs w:val="28"/>
        </w:rPr>
        <w:t>&lt; 75</w:t>
      </w:r>
      <w:proofErr w:type="gramEnd"/>
      <w:r w:rsidRPr="00164F96">
        <w:rPr>
          <w:rFonts w:ascii="Times New Roman" w:eastAsia="Times New Roman" w:hAnsi="Times New Roman"/>
          <w:sz w:val="28"/>
          <w:szCs w:val="28"/>
        </w:rPr>
        <w:t xml:space="preserve"> процентов результативность использования субсидии признается низкой, при значении 75 процентов &lt; R' &lt; 85 процентов - средней, при значении R' &gt; 85 процентов - высокой.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lastRenderedPageBreak/>
        <w:t xml:space="preserve">Показатель эффективности использования субсидии (R) рассчитывается по формуле: </w:t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BF5707" w:rsidP="00164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noProof/>
          <w:position w:val="-42"/>
        </w:rPr>
        <w:drawing>
          <wp:inline distT="0" distB="0" distL="0" distR="0" wp14:anchorId="30F0C262" wp14:editId="1F5DFB47">
            <wp:extent cx="1083945" cy="68580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164F96">
      <w:pPr>
        <w:spacing w:after="0" w:line="288" w:lineRule="atLeas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где: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F</w:t>
      </w:r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тек</w:t>
      </w:r>
      <w:proofErr w:type="spellEnd"/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.</w:t>
      </w:r>
      <w:r w:rsidRPr="00164F96">
        <w:rPr>
          <w:rFonts w:ascii="Times New Roman" w:eastAsia="Times New Roman" w:hAnsi="Times New Roman"/>
          <w:sz w:val="28"/>
          <w:szCs w:val="28"/>
        </w:rPr>
        <w:t xml:space="preserve"> - сумма субсидии, предоставленная на текущую дату;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64F96">
        <w:rPr>
          <w:rFonts w:ascii="Times New Roman" w:eastAsia="Times New Roman" w:hAnsi="Times New Roman"/>
          <w:sz w:val="28"/>
          <w:szCs w:val="28"/>
        </w:rPr>
        <w:t>F</w:t>
      </w:r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план</w:t>
      </w:r>
      <w:proofErr w:type="spellEnd"/>
      <w:r w:rsidRPr="00164F96">
        <w:rPr>
          <w:rFonts w:ascii="Times New Roman" w:eastAsia="Times New Roman" w:hAnsi="Times New Roman"/>
          <w:sz w:val="28"/>
          <w:szCs w:val="28"/>
          <w:vertAlign w:val="subscript"/>
        </w:rPr>
        <w:t>.</w:t>
      </w:r>
      <w:r w:rsidRPr="00164F96">
        <w:rPr>
          <w:rFonts w:ascii="Times New Roman" w:eastAsia="Times New Roman" w:hAnsi="Times New Roman"/>
          <w:sz w:val="28"/>
          <w:szCs w:val="28"/>
        </w:rPr>
        <w:t xml:space="preserve"> - плановая сумма субсидии.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При значении R </w:t>
      </w:r>
      <w:proofErr w:type="gramStart"/>
      <w:r w:rsidRPr="00164F96">
        <w:rPr>
          <w:rFonts w:ascii="Times New Roman" w:eastAsia="Times New Roman" w:hAnsi="Times New Roman"/>
          <w:sz w:val="28"/>
          <w:szCs w:val="28"/>
        </w:rPr>
        <w:t>&lt; 75</w:t>
      </w:r>
      <w:proofErr w:type="gramEnd"/>
      <w:r w:rsidRPr="00164F96">
        <w:rPr>
          <w:rFonts w:ascii="Times New Roman" w:eastAsia="Times New Roman" w:hAnsi="Times New Roman"/>
          <w:sz w:val="28"/>
          <w:szCs w:val="28"/>
        </w:rPr>
        <w:t xml:space="preserve"> процентов эффективность использования субсидии признается низкой, при значении 75 процентов &lt; R &lt; 85 процентов - средней, при значении R &gt; 85 процентов - высокой.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12. Порядок и условия возврата средств из местного бюджета в доход областного бюджета в случае нарушения муниципальным образованием области обязательств, предусмотренных соглашением, а также основания для освобождения муниципального образования области от применения мер финансовой ответственности установлены пунктами 16 - 18 и 20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13.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Ярославской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14. Ответственность за недостоверность представляемых в соответствии с Порядком сведений, а также за нецелевое использование субсидии возлагается на финансовые органы муниципальных образований области и уполномоченные органы муниципальных образований области. </w:t>
      </w:r>
    </w:p>
    <w:p w:rsidR="00164F96" w:rsidRPr="00164F96" w:rsidRDefault="00164F96" w:rsidP="00164F96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15. В случае нецелевого использования субсидии к муниципальному образованию области применяются бюджетные меры принуждения, предусмотренные главой 30 Бюджетного кодекса Российской Федерации. </w:t>
      </w:r>
    </w:p>
    <w:p w:rsidR="00587B9A" w:rsidRDefault="00164F96" w:rsidP="007263B5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16.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регионального проекта "Создание условий для отдыха и оздоровления детей на территории Ярославской области" </w:t>
      </w:r>
      <w:r w:rsidRPr="00164F96">
        <w:rPr>
          <w:rFonts w:ascii="Times New Roman" w:eastAsia="Times New Roman" w:hAnsi="Times New Roman"/>
          <w:sz w:val="28"/>
          <w:szCs w:val="28"/>
        </w:rPr>
        <w:lastRenderedPageBreak/>
        <w:t xml:space="preserve">государственной программы Ярославской области "Социальная поддержка населения Ярославской области" на 2024 - 2030 годы и органом государственного финансового контроля. </w:t>
      </w: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</w:p>
    <w:p w:rsidR="00587B9A" w:rsidRDefault="00587B9A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  <w:sectPr w:rsidR="00587B9A" w:rsidSect="00D523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lastRenderedPageBreak/>
        <w:t xml:space="preserve">Приложение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к Порядку предоставления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и распределения субсидии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на создание некапитальных объектов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(быстровозводимых конструкций)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отдыха детей и их оздоровления,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а также капитальный ремонт объектов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инфраструктуры организаций отдыха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детей и их оздоровления </w:t>
      </w:r>
    </w:p>
    <w:p w:rsidR="00164F96" w:rsidRPr="00164F96" w:rsidRDefault="00164F96" w:rsidP="00164F96">
      <w:pPr>
        <w:spacing w:after="0" w:line="288" w:lineRule="atLeas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 </w:t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164F96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Форма </w:t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Courier New" w:eastAsia="Times New Roman" w:hAnsi="Courier New" w:cs="Courier New"/>
          <w:sz w:val="28"/>
          <w:szCs w:val="28"/>
        </w:rPr>
        <w:t xml:space="preserve">                                       </w:t>
      </w:r>
      <w:r w:rsidRPr="00164F96">
        <w:rPr>
          <w:rFonts w:ascii="Times New Roman" w:eastAsia="Times New Roman" w:hAnsi="Times New Roman"/>
          <w:sz w:val="28"/>
          <w:szCs w:val="28"/>
        </w:rPr>
        <w:t>В управление по социальной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  и демографической политике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  Правительства Ярославской области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  ____________________________________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  (наименование уполномоченного органа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  ____________________________________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       муниципального образования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Ярославской области)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 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ЗАЯВКА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на предоставление субсидии на создание некапитальных объектов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(быстровозводимых конструкций) отдыха детей и их оздоровления,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а также капитальный ремонт объектов инфраструктуры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организаций отдыха детей и их оздоровления</w:t>
      </w:r>
    </w:p>
    <w:p w:rsidR="00164F96" w:rsidRPr="00164F96" w:rsidRDefault="00164F96" w:rsidP="004A24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на 20___ год</w:t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lastRenderedPageBreak/>
        <w:t xml:space="preserve">  </w:t>
      </w:r>
    </w:p>
    <w:p w:rsidR="00164F96" w:rsidRPr="00164F96" w:rsidRDefault="00164F96" w:rsidP="00B14497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(рублей) </w:t>
      </w:r>
    </w:p>
    <w:tbl>
      <w:tblPr>
        <w:tblW w:w="1501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704"/>
        <w:gridCol w:w="847"/>
        <w:gridCol w:w="563"/>
        <w:gridCol w:w="882"/>
        <w:gridCol w:w="706"/>
        <w:gridCol w:w="538"/>
        <w:gridCol w:w="561"/>
        <w:gridCol w:w="926"/>
        <w:gridCol w:w="673"/>
        <w:gridCol w:w="665"/>
        <w:gridCol w:w="924"/>
        <w:gridCol w:w="935"/>
        <w:gridCol w:w="819"/>
        <w:gridCol w:w="726"/>
        <w:gridCol w:w="819"/>
        <w:gridCol w:w="937"/>
        <w:gridCol w:w="1126"/>
      </w:tblGrid>
      <w:tr w:rsidR="00164F96" w:rsidRPr="00164F96" w:rsidTr="00B1449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 по месяцам и кварталам 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</w:t>
            </w:r>
          </w:p>
        </w:tc>
      </w:tr>
      <w:tr w:rsidR="00587B9A" w:rsidRPr="00164F96" w:rsidTr="00B1449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4F96" w:rsidRPr="00B14497" w:rsidRDefault="00164F96" w:rsidP="00164F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за I квартал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за II квартал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за III квартал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за IV квартал </w:t>
            </w:r>
          </w:p>
        </w:tc>
        <w:tc>
          <w:tcPr>
            <w:tcW w:w="1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4F96" w:rsidRPr="00B14497" w:rsidRDefault="00164F96" w:rsidP="00164F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7B9A" w:rsidRPr="00164F96" w:rsidTr="00B14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B14497" w:rsidRDefault="00164F96" w:rsidP="0016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497">
              <w:rPr>
                <w:rFonts w:ascii="Times New Roman" w:eastAsia="Times New Roman" w:hAnsi="Times New Roman"/>
                <w:sz w:val="24"/>
                <w:szCs w:val="24"/>
              </w:rPr>
              <w:t xml:space="preserve">18 </w:t>
            </w:r>
          </w:p>
        </w:tc>
      </w:tr>
      <w:tr w:rsidR="00587B9A" w:rsidRPr="00164F96" w:rsidTr="00B1449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4F96" w:rsidRPr="00164F96" w:rsidRDefault="00164F96" w:rsidP="00164F96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F96">
              <w:rPr>
                <w:rFonts w:ascii="Times New Roman" w:eastAsia="Times New Roman" w:hAnsi="Times New Roman"/>
                <w:sz w:val="28"/>
                <w:szCs w:val="28"/>
              </w:rPr>
              <w:t xml:space="preserve">  </w:t>
            </w:r>
          </w:p>
        </w:tc>
      </w:tr>
    </w:tbl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"___" ___________ 20___ г.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 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Руководитель уполномоченного органа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по организации и обеспечению отдыха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и оздоровления детей муниципального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образования Ярославской области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(с указанием </w:t>
      </w:r>
      <w:proofErr w:type="gramStart"/>
      <w:r w:rsidRPr="00164F96">
        <w:rPr>
          <w:rFonts w:ascii="Times New Roman" w:eastAsia="Times New Roman" w:hAnsi="Times New Roman"/>
          <w:sz w:val="28"/>
          <w:szCs w:val="28"/>
        </w:rPr>
        <w:t xml:space="preserve">должности)   </w:t>
      </w:r>
      <w:proofErr w:type="gramEnd"/>
      <w:r w:rsidRPr="00164F96">
        <w:rPr>
          <w:rFonts w:ascii="Times New Roman" w:eastAsia="Times New Roman" w:hAnsi="Times New Roman"/>
          <w:sz w:val="28"/>
          <w:szCs w:val="28"/>
        </w:rPr>
        <w:t xml:space="preserve">          ___________   _________________________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(</w:t>
      </w:r>
      <w:proofErr w:type="gramStart"/>
      <w:r w:rsidRPr="00164F96">
        <w:rPr>
          <w:rFonts w:ascii="Times New Roman" w:eastAsia="Times New Roman" w:hAnsi="Times New Roman"/>
          <w:sz w:val="28"/>
          <w:szCs w:val="28"/>
        </w:rPr>
        <w:t xml:space="preserve">подпись)   </w:t>
      </w:r>
      <w:proofErr w:type="gramEnd"/>
      <w:r w:rsidRPr="00164F96">
        <w:rPr>
          <w:rFonts w:ascii="Times New Roman" w:eastAsia="Times New Roman" w:hAnsi="Times New Roman"/>
          <w:sz w:val="28"/>
          <w:szCs w:val="28"/>
        </w:rPr>
        <w:t xml:space="preserve">   (расшифровка подписи)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 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Руководитель финансового органа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Ярославской области                 ___________   _________________________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(</w:t>
      </w:r>
      <w:proofErr w:type="gramStart"/>
      <w:r w:rsidRPr="00164F96">
        <w:rPr>
          <w:rFonts w:ascii="Times New Roman" w:eastAsia="Times New Roman" w:hAnsi="Times New Roman"/>
          <w:sz w:val="28"/>
          <w:szCs w:val="28"/>
        </w:rPr>
        <w:t xml:space="preserve">подпись)   </w:t>
      </w:r>
      <w:proofErr w:type="gramEnd"/>
      <w:r w:rsidRPr="00164F96">
        <w:rPr>
          <w:rFonts w:ascii="Times New Roman" w:eastAsia="Times New Roman" w:hAnsi="Times New Roman"/>
          <w:sz w:val="28"/>
          <w:szCs w:val="28"/>
        </w:rPr>
        <w:t xml:space="preserve">   (расшифровка подписи)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 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>Исполнитель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(контактный </w:t>
      </w:r>
      <w:proofErr w:type="gramStart"/>
      <w:r w:rsidRPr="00164F96">
        <w:rPr>
          <w:rFonts w:ascii="Times New Roman" w:eastAsia="Times New Roman" w:hAnsi="Times New Roman"/>
          <w:sz w:val="28"/>
          <w:szCs w:val="28"/>
        </w:rPr>
        <w:t xml:space="preserve">телефон)   </w:t>
      </w:r>
      <w:proofErr w:type="gramEnd"/>
      <w:r w:rsidRPr="00164F96">
        <w:rPr>
          <w:rFonts w:ascii="Times New Roman" w:eastAsia="Times New Roman" w:hAnsi="Times New Roman"/>
          <w:sz w:val="28"/>
          <w:szCs w:val="28"/>
        </w:rPr>
        <w:t xml:space="preserve">             ___________   _________________________</w:t>
      </w:r>
    </w:p>
    <w:p w:rsidR="00164F96" w:rsidRPr="00164F96" w:rsidRDefault="00164F96" w:rsidP="00164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                                     (</w:t>
      </w:r>
      <w:proofErr w:type="gramStart"/>
      <w:r w:rsidRPr="00164F96">
        <w:rPr>
          <w:rFonts w:ascii="Times New Roman" w:eastAsia="Times New Roman" w:hAnsi="Times New Roman"/>
          <w:sz w:val="28"/>
          <w:szCs w:val="28"/>
        </w:rPr>
        <w:t xml:space="preserve">подпись)   </w:t>
      </w:r>
      <w:proofErr w:type="gramEnd"/>
      <w:r w:rsidRPr="00164F96">
        <w:rPr>
          <w:rFonts w:ascii="Times New Roman" w:eastAsia="Times New Roman" w:hAnsi="Times New Roman"/>
          <w:sz w:val="28"/>
          <w:szCs w:val="28"/>
        </w:rPr>
        <w:t xml:space="preserve">   (расшифровка подписи)</w:t>
      </w:r>
    </w:p>
    <w:p w:rsidR="00164F96" w:rsidRPr="00164F96" w:rsidRDefault="00164F96" w:rsidP="00164F96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164F96">
        <w:rPr>
          <w:rFonts w:ascii="Times New Roman" w:eastAsia="Times New Roman" w:hAnsi="Times New Roman"/>
          <w:sz w:val="28"/>
          <w:szCs w:val="28"/>
        </w:rPr>
        <w:t xml:space="preserve">  </w:t>
      </w:r>
    </w:p>
    <w:sectPr w:rsidR="00164F96" w:rsidRPr="00164F96" w:rsidSect="00B14497">
      <w:pgSz w:w="16838" w:h="11906" w:orient="landscape"/>
      <w:pgMar w:top="1701" w:right="67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497" w:rsidRDefault="00B14497" w:rsidP="00B14497">
      <w:pPr>
        <w:spacing w:after="0" w:line="240" w:lineRule="auto"/>
      </w:pPr>
      <w:r>
        <w:separator/>
      </w:r>
    </w:p>
  </w:endnote>
  <w:endnote w:type="continuationSeparator" w:id="0">
    <w:p w:rsidR="00B14497" w:rsidRDefault="00B14497" w:rsidP="00B1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497" w:rsidRDefault="00B1449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497" w:rsidRDefault="00B1449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497" w:rsidRDefault="00B1449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497" w:rsidRDefault="00B14497" w:rsidP="00B14497">
      <w:pPr>
        <w:spacing w:after="0" w:line="240" w:lineRule="auto"/>
      </w:pPr>
      <w:r>
        <w:separator/>
      </w:r>
    </w:p>
  </w:footnote>
  <w:footnote w:type="continuationSeparator" w:id="0">
    <w:p w:rsidR="00B14497" w:rsidRDefault="00B14497" w:rsidP="00B14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497" w:rsidRDefault="00B1449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240039"/>
      <w:docPartObj>
        <w:docPartGallery w:val="Page Numbers (Top of Page)"/>
        <w:docPartUnique/>
      </w:docPartObj>
    </w:sdtPr>
    <w:sdtEndPr/>
    <w:sdtContent>
      <w:p w:rsidR="00B14497" w:rsidRDefault="00B144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311">
          <w:rPr>
            <w:noProof/>
          </w:rPr>
          <w:t>7</w:t>
        </w:r>
        <w:r>
          <w:fldChar w:fldCharType="end"/>
        </w:r>
      </w:p>
    </w:sdtContent>
  </w:sdt>
  <w:p w:rsidR="00B14497" w:rsidRDefault="00B1449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497" w:rsidRDefault="00B14497">
    <w:pPr>
      <w:pStyle w:val="a6"/>
    </w:pPr>
    <w:bookmarkStart w:id="1" w:name="_GoBack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11"/>
    <w:rsid w:val="00086ADC"/>
    <w:rsid w:val="000B5F58"/>
    <w:rsid w:val="000C27C2"/>
    <w:rsid w:val="001445A8"/>
    <w:rsid w:val="00145C3F"/>
    <w:rsid w:val="001468B7"/>
    <w:rsid w:val="00164F96"/>
    <w:rsid w:val="002B18BA"/>
    <w:rsid w:val="0035003D"/>
    <w:rsid w:val="00393ECA"/>
    <w:rsid w:val="003A31FB"/>
    <w:rsid w:val="003C1DCB"/>
    <w:rsid w:val="003D5DBD"/>
    <w:rsid w:val="003E4E47"/>
    <w:rsid w:val="00430CB7"/>
    <w:rsid w:val="00480D71"/>
    <w:rsid w:val="004A2402"/>
    <w:rsid w:val="005076E9"/>
    <w:rsid w:val="00575110"/>
    <w:rsid w:val="00587B9A"/>
    <w:rsid w:val="00651543"/>
    <w:rsid w:val="006678C8"/>
    <w:rsid w:val="007263B5"/>
    <w:rsid w:val="00772B6A"/>
    <w:rsid w:val="007736CA"/>
    <w:rsid w:val="007A2411"/>
    <w:rsid w:val="007D53A5"/>
    <w:rsid w:val="008E5C7E"/>
    <w:rsid w:val="00982868"/>
    <w:rsid w:val="009D5B12"/>
    <w:rsid w:val="00A04A3A"/>
    <w:rsid w:val="00A55A97"/>
    <w:rsid w:val="00B14497"/>
    <w:rsid w:val="00B37349"/>
    <w:rsid w:val="00B56F44"/>
    <w:rsid w:val="00BB71F1"/>
    <w:rsid w:val="00BC37A0"/>
    <w:rsid w:val="00BF5707"/>
    <w:rsid w:val="00C65E8C"/>
    <w:rsid w:val="00C70832"/>
    <w:rsid w:val="00C84145"/>
    <w:rsid w:val="00CB702F"/>
    <w:rsid w:val="00D52311"/>
    <w:rsid w:val="00D81376"/>
    <w:rsid w:val="00E14999"/>
    <w:rsid w:val="00F17F8A"/>
    <w:rsid w:val="00F33D7B"/>
    <w:rsid w:val="00FA1EAF"/>
    <w:rsid w:val="00FE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03D3D-0B3E-40BD-B0A6-998E9D50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E8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E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6C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3D5DBD"/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14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4497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14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4497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3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6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7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8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3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0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4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3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8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0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4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1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8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4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7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0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5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34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135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50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9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70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3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73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235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1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195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9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5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6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5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6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2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7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993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58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65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8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534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1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3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6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5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3960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79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81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97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1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2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1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08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2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5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9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2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7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5487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24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141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1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6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22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7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10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3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9486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7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7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7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6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1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4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588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0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7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24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3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76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178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99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3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71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425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3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7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4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49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5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1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20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50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09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3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997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94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6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01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2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049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4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1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5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74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7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2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6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7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397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9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6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83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6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3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9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44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1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18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97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762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986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Наталья Викторовна</dc:creator>
  <cp:lastModifiedBy>Колточенко Татьяна Владимировна</cp:lastModifiedBy>
  <cp:revision>11</cp:revision>
  <dcterms:created xsi:type="dcterms:W3CDTF">2025-10-23T07:44:00Z</dcterms:created>
  <dcterms:modified xsi:type="dcterms:W3CDTF">2025-10-30T11:45:00Z</dcterms:modified>
</cp:coreProperties>
</file>